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8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
        <w:gridCol w:w="1379"/>
        <w:gridCol w:w="3577"/>
        <w:gridCol w:w="3130"/>
        <w:gridCol w:w="5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9" w:hRule="atLeast"/>
          <w:jc w:val="center"/>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所属区划：</w:t>
            </w:r>
          </w:p>
        </w:tc>
        <w:tc>
          <w:tcPr>
            <w:tcW w:w="3577" w:type="dxa"/>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wordWrap w:val="0"/>
              <w:spacing w:before="0" w:beforeAutospacing="0" w:after="0" w:afterAutospacing="0" w:line="21" w:lineRule="atLeast"/>
              <w:ind w:left="0" w:right="0" w:firstLine="0"/>
              <w:jc w:val="center"/>
              <w:textAlignment w:val="top"/>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墨竹工卡县</w:t>
            </w:r>
          </w:p>
        </w:tc>
        <w:tc>
          <w:tcPr>
            <w:tcW w:w="3130" w:type="dxa"/>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lang w:val="en-US" w:eastAsia="zh-CN" w:bidi="ar"/>
              </w:rPr>
              <w:t>实施机构：</w:t>
            </w:r>
          </w:p>
        </w:tc>
        <w:tc>
          <w:tcPr>
            <w:tcW w:w="5771" w:type="dxa"/>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wordWrap w:val="0"/>
              <w:spacing w:before="0" w:beforeAutospacing="0" w:after="0" w:afterAutospacing="0" w:line="21" w:lineRule="atLeast"/>
              <w:ind w:left="0" w:right="0" w:firstLine="0"/>
              <w:jc w:val="center"/>
              <w:textAlignment w:val="top"/>
              <w:rPr>
                <w:rFonts w:hint="eastAsia" w:ascii="微软雅黑" w:hAnsi="微软雅黑" w:eastAsia="微软雅黑" w:cs="微软雅黑"/>
                <w:i w:val="0"/>
                <w:iCs w:val="0"/>
                <w:caps w:val="0"/>
                <w:color w:val="666666"/>
                <w:spacing w:val="0"/>
                <w:sz w:val="21"/>
                <w:szCs w:val="21"/>
              </w:rPr>
            </w:pPr>
            <w:r>
              <w:rPr>
                <w:rFonts w:ascii="SHR" w:hAnsi="SHR" w:eastAsia="SHR" w:cs="SHR"/>
                <w:i w:val="0"/>
                <w:iCs w:val="0"/>
                <w:caps w:val="0"/>
                <w:color w:val="666666"/>
                <w:spacing w:val="0"/>
                <w:sz w:val="19"/>
                <w:szCs w:val="19"/>
                <w:shd w:val="clear" w:fill="FFFFFF"/>
              </w:rPr>
              <w:t>墨竹工卡县发改委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jc w:val="center"/>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事项类型：</w:t>
            </w:r>
          </w:p>
        </w:tc>
        <w:tc>
          <w:tcPr>
            <w:tcW w:w="3577" w:type="dxa"/>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行政许可</w:t>
            </w:r>
          </w:p>
        </w:tc>
        <w:tc>
          <w:tcPr>
            <w:tcW w:w="3130" w:type="dxa"/>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基本编码：</w:t>
            </w:r>
          </w:p>
        </w:tc>
        <w:tc>
          <w:tcPr>
            <w:tcW w:w="5771" w:type="dxa"/>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default"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000104002000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8" w:hRule="atLeast"/>
          <w:jc w:val="center"/>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事项名称：</w:t>
            </w:r>
          </w:p>
        </w:tc>
        <w:tc>
          <w:tcPr>
            <w:tcW w:w="12478" w:type="dxa"/>
            <w:gridSpan w:val="3"/>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fldChar w:fldCharType="begin"/>
            </w:r>
            <w:r>
              <w:rPr>
                <w:rFonts w:hint="eastAsia" w:ascii="微软雅黑" w:hAnsi="微软雅黑" w:eastAsia="微软雅黑" w:cs="微软雅黑"/>
                <w:i w:val="0"/>
                <w:iCs w:val="0"/>
                <w:caps w:val="0"/>
                <w:color w:val="666666"/>
                <w:spacing w:val="0"/>
                <w:kern w:val="0"/>
                <w:sz w:val="21"/>
                <w:szCs w:val="21"/>
                <w:lang w:val="en-US" w:eastAsia="zh-CN" w:bidi="ar"/>
              </w:rPr>
              <w:instrText xml:space="preserve"> HYPERLINK "javascript:;" </w:instrText>
            </w:r>
            <w:r>
              <w:rPr>
                <w:rFonts w:hint="eastAsia" w:ascii="微软雅黑" w:hAnsi="微软雅黑" w:eastAsia="微软雅黑" w:cs="微软雅黑"/>
                <w:i w:val="0"/>
                <w:iCs w:val="0"/>
                <w:caps w:val="0"/>
                <w:color w:val="666666"/>
                <w:spacing w:val="0"/>
                <w:kern w:val="0"/>
                <w:sz w:val="21"/>
                <w:szCs w:val="21"/>
                <w:lang w:val="en-US" w:eastAsia="zh-CN" w:bidi="ar"/>
              </w:rPr>
              <w:fldChar w:fldCharType="separate"/>
            </w:r>
            <w:r>
              <w:rPr>
                <w:rFonts w:hint="default" w:ascii="微软雅黑" w:hAnsi="微软雅黑" w:eastAsia="微软雅黑" w:cs="微软雅黑"/>
                <w:i w:val="0"/>
                <w:iCs w:val="0"/>
                <w:caps w:val="0"/>
                <w:color w:val="666666"/>
                <w:spacing w:val="0"/>
                <w:kern w:val="0"/>
                <w:sz w:val="21"/>
                <w:szCs w:val="21"/>
                <w:lang w:val="en-US" w:eastAsia="zh-CN" w:bidi="ar"/>
              </w:rPr>
              <w:t>固定资产投资项目节能审查</w:t>
            </w:r>
            <w:r>
              <w:rPr>
                <w:rFonts w:hint="default" w:ascii="微软雅黑" w:hAnsi="微软雅黑" w:eastAsia="微软雅黑" w:cs="微软雅黑"/>
                <w:i w:val="0"/>
                <w:iCs w:val="0"/>
                <w:caps w:val="0"/>
                <w:color w:val="666666"/>
                <w:spacing w:val="0"/>
                <w:kern w:val="0"/>
                <w:sz w:val="21"/>
                <w:szCs w:val="21"/>
                <w:lang w:val="en-US" w:eastAsia="zh-CN" w:bidi="ar"/>
              </w:rPr>
              <w:fldChar w:fldCharType="end"/>
            </w:r>
            <w:r>
              <w:rPr>
                <w:rFonts w:hint="eastAsia" w:ascii="微软雅黑" w:hAnsi="微软雅黑" w:eastAsia="微软雅黑" w:cs="微软雅黑"/>
                <w:i w:val="0"/>
                <w:iCs w:val="0"/>
                <w:caps w:val="0"/>
                <w:color w:val="666666"/>
                <w:spacing w:val="0"/>
                <w:kern w:val="0"/>
                <w:sz w:val="21"/>
                <w:szCs w:val="21"/>
                <w:lang w:val="en-US" w:eastAsia="zh-CN" w:bidi="ar"/>
              </w:rPr>
              <w:t>（县级权限）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5" w:hRule="atLeast"/>
          <w:jc w:val="center"/>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行使层级：</w:t>
            </w:r>
          </w:p>
        </w:tc>
        <w:tc>
          <w:tcPr>
            <w:tcW w:w="12478" w:type="dxa"/>
            <w:gridSpan w:val="3"/>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县级仅限咨询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jc w:val="center"/>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设定依据：</w:t>
            </w:r>
          </w:p>
        </w:tc>
        <w:tc>
          <w:tcPr>
            <w:tcW w:w="12478" w:type="dxa"/>
            <w:gridSpan w:val="3"/>
            <w:tcBorders>
              <w:top w:val="nil"/>
              <w:bottom w:val="single" w:color="E5E5E5" w:sz="6" w:space="0"/>
              <w:right w:val="single" w:color="E5E5E5" w:sz="6" w:space="0"/>
            </w:tcBorders>
            <w:shd w:val="clear" w:color="auto" w:fill="auto"/>
            <w:tcMar>
              <w:top w:w="75" w:type="dxa"/>
              <w:left w:w="150" w:type="dxa"/>
              <w:bottom w:w="75" w:type="dxa"/>
              <w:right w:w="0"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全国人民代表大会常务委员会关于修改&lt;中华人民共和国节约能源法&gt;等六部法律的决定》：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 《国务院关于加强节能工作的决定》（国发[2006]28号）第二十三条：建立固定资产投资项目节能评估和审查制度。有关部门和地方人民政府要对</w:t>
            </w:r>
            <w:bookmarkStart w:id="0" w:name="_GoBack"/>
            <w:bookmarkEnd w:id="0"/>
            <w:r>
              <w:rPr>
                <w:rFonts w:hint="eastAsia" w:ascii="微软雅黑" w:hAnsi="微软雅黑" w:eastAsia="微软雅黑" w:cs="微软雅黑"/>
                <w:i w:val="0"/>
                <w:iCs w:val="0"/>
                <w:caps w:val="0"/>
                <w:color w:val="666666"/>
                <w:spacing w:val="0"/>
                <w:kern w:val="0"/>
                <w:sz w:val="21"/>
                <w:szCs w:val="21"/>
                <w:lang w:val="en-US" w:eastAsia="zh-CN" w:bidi="ar"/>
              </w:rPr>
              <w:t>固定资产投资项目（含新建、改建、扩建项目）进行节能评估和审查。 《固定资产投资项目节能办法》（2016年国家发改委令第44号）第三条 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第五条 定资产投资项目节能审查由地方节能审查机关负责。 国家发展改革委核报国务院审批以及国家发展改革委审批的政府投资项目，建设单位在报送项目可行性研究报告前，需取得省级节能审查机关出具的节能审查意见。国家发展改革委核报国务院核准以及国家发展改革委核准的企业投资项目，建设单位需在开工建设前取得省级节能审查机关出具的节能审查意见。 年综合能源消费量5000 吨标准煤以上(改扩建项目按照建成投产后年综合能源消费增量计算，电力折算系数按当量值，下同)的固定资产投资项目，其节能审查由省级节能审查机关负责。其他固定资产投资项目，其节能审查管理权限由省级节能审查机关依据实际情况自行决定。第六条 年综合能源消费量不满1000 吨标准煤，且年电力消费量不满500 万千瓦时的固定资产投资项目，以及用能工艺简单、节能潜力小的行业(具体行业目录由国家发展改革委制定并公布)的固定资产投资项目应按照相关节能标准、规范建设，不再单独进行节能审查。《全国人大财政经济委员会办公室关于节能评估审查是否属于行政许可事项的复函》：根据行政许可法，上述规定符合设定行政许可的要求和条件。在实际工作中，国家发改委为落实节能法的要求，将节能评估和审查作为项目审批、核准和开工建设的强制性前置条件，节能评估和审查制度与环境评估等一样，已成为固定资产投资项目审批核准制度的重点环节。</w:t>
            </w:r>
          </w:p>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jc w:val="center"/>
        </w:trPr>
        <w:tc>
          <w:tcPr>
            <w:tcW w:w="1391" w:type="dxa"/>
            <w:gridSpan w:val="2"/>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监督电话：</w:t>
            </w:r>
          </w:p>
        </w:tc>
        <w:tc>
          <w:tcPr>
            <w:tcW w:w="3577"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0891-6132125</w:t>
            </w:r>
          </w:p>
        </w:tc>
        <w:tc>
          <w:tcPr>
            <w:tcW w:w="3130"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咨询电话：</w:t>
            </w:r>
          </w:p>
        </w:tc>
        <w:tc>
          <w:tcPr>
            <w:tcW w:w="5771"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0891-6130250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Before w:val="1"/>
          <w:wBefore w:w="12" w:type="dxa"/>
          <w:trHeight w:val="990" w:hRule="atLeast"/>
          <w:jc w:val="center"/>
        </w:trPr>
        <w:tc>
          <w:tcPr>
            <w:tcW w:w="1379" w:type="dxa"/>
            <w:tcBorders>
              <w:top w:val="nil"/>
              <w:bottom w:val="single" w:color="E5E5E5" w:sz="6" w:space="0"/>
              <w:right w:val="single" w:color="E5E5E5" w:sz="6" w:space="0"/>
            </w:tcBorders>
            <w:shd w:val="clear" w:color="auto" w:fill="F5F5F5"/>
            <w:tcMar>
              <w:top w:w="75" w:type="dxa"/>
              <w:left w:w="0" w:type="dxa"/>
              <w:bottom w:w="75" w:type="dxa"/>
              <w:right w:w="0" w:type="dxa"/>
            </w:tcMar>
            <w:vAlign w:val="center"/>
          </w:tcPr>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办理地点：</w:t>
            </w:r>
          </w:p>
        </w:tc>
        <w:tc>
          <w:tcPr>
            <w:tcW w:w="12478" w:type="dxa"/>
            <w:gridSpan w:val="3"/>
            <w:tcBorders>
              <w:top w:val="nil"/>
              <w:bottom w:val="single" w:color="E5E5E5" w:sz="6" w:space="0"/>
              <w:right w:val="single" w:color="E5E5E5" w:sz="6" w:space="0"/>
            </w:tcBorders>
            <w:shd w:val="clear" w:color="auto" w:fill="auto"/>
            <w:tcMar>
              <w:top w:w="45" w:type="dxa"/>
              <w:left w:w="45" w:type="dxa"/>
              <w:bottom w:w="45" w:type="dxa"/>
              <w:right w:w="45" w:type="dxa"/>
            </w:tcMar>
            <w:vAlign w:val="top"/>
          </w:tcPr>
          <w:p>
            <w:pPr>
              <w:keepNext w:val="0"/>
              <w:keepLines w:val="0"/>
              <w:widowControl/>
              <w:suppressLineNumbers w:val="0"/>
              <w:spacing w:before="0" w:beforeAutospacing="0" w:after="0" w:afterAutospacing="0" w:line="21" w:lineRule="atLeast"/>
              <w:ind w:left="0" w:right="0" w:firstLine="0"/>
              <w:jc w:val="center"/>
              <w:textAlignment w:val="center"/>
              <w:rPr>
                <w:rFonts w:hint="default"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墨竹工卡县发改委 办理地址：</w:t>
            </w:r>
            <w:r>
              <w:rPr>
                <w:rFonts w:hint="default" w:ascii="微软雅黑" w:hAnsi="微软雅黑" w:eastAsia="微软雅黑" w:cs="微软雅黑"/>
                <w:i w:val="0"/>
                <w:iCs w:val="0"/>
                <w:caps w:val="0"/>
                <w:color w:val="666666"/>
                <w:spacing w:val="0"/>
                <w:kern w:val="0"/>
                <w:sz w:val="21"/>
                <w:szCs w:val="21"/>
                <w:lang w:val="en-US" w:eastAsia="zh-CN" w:bidi="ar"/>
              </w:rPr>
              <w:t>墨竹工卡县工卡镇2号县发改委305办公室</w:t>
            </w:r>
          </w:p>
          <w:p>
            <w:pPr>
              <w:keepNext w:val="0"/>
              <w:keepLines w:val="0"/>
              <w:widowControl/>
              <w:suppressLineNumbers w:val="0"/>
              <w:spacing w:before="0" w:beforeAutospacing="0" w:after="0" w:afterAutospacing="0" w:line="21" w:lineRule="atLeast"/>
              <w:ind w:left="0" w:right="0" w:firstLine="0"/>
              <w:jc w:val="center"/>
              <w:textAlignment w:val="center"/>
              <w:rPr>
                <w:rFonts w:hint="default"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办理时间：</w:t>
            </w:r>
            <w:r>
              <w:rPr>
                <w:rFonts w:hint="default" w:ascii="微软雅黑" w:hAnsi="微软雅黑" w:eastAsia="微软雅黑" w:cs="微软雅黑"/>
                <w:i w:val="0"/>
                <w:iCs w:val="0"/>
                <w:caps w:val="0"/>
                <w:color w:val="666666"/>
                <w:spacing w:val="0"/>
                <w:kern w:val="0"/>
                <w:sz w:val="21"/>
                <w:szCs w:val="21"/>
                <w:lang w:val="en-US" w:eastAsia="zh-CN" w:bidi="ar"/>
              </w:rPr>
              <w:t>周一至周五 工作日 上午9：30-12：30 下午15:30-18:30 工作日10：00-13：00 下午15:00-18：00</w:t>
            </w:r>
          </w:p>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p>
        </w:tc>
      </w:tr>
    </w:tbl>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p>
    <w:p>
      <w:pPr>
        <w:keepNext w:val="0"/>
        <w:keepLines w:val="0"/>
        <w:widowControl/>
        <w:suppressLineNumbers w:val="0"/>
        <w:spacing w:before="0" w:beforeAutospacing="0" w:after="0" w:afterAutospacing="0" w:line="21" w:lineRule="atLeast"/>
        <w:ind w:left="0" w:right="0" w:firstLine="0"/>
        <w:jc w:val="center"/>
        <w:textAlignment w:val="center"/>
        <w:rPr>
          <w:rFonts w:hint="eastAsia" w:ascii="微软雅黑" w:hAnsi="微软雅黑" w:eastAsia="微软雅黑" w:cs="微软雅黑"/>
          <w:i w:val="0"/>
          <w:iCs w:val="0"/>
          <w:caps w:val="0"/>
          <w:color w:val="666666"/>
          <w:spacing w:val="0"/>
          <w:kern w:val="0"/>
          <w:sz w:val="21"/>
          <w:szCs w:val="21"/>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HR">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YjQyZDhjNjczZGQwYTJiMzkyNDE2ZjExNDExZWIifQ=="/>
  </w:docVars>
  <w:rsids>
    <w:rsidRoot w:val="00000000"/>
    <w:rsid w:val="35960ED6"/>
    <w:rsid w:val="4A044128"/>
    <w:rsid w:val="574E25FD"/>
    <w:rsid w:val="6E94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autoRedefine/>
    <w:qFormat/>
    <w:uiPriority w:val="0"/>
    <w:rPr>
      <w:i/>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2024-02-21T04:20:00Z</dcterms:created>
  <dc:creator>Administrator</dc:creator>
  <cp:lastModifiedBy></cp:lastModifiedBy>
  <dcterms:modified xsi:type="dcterms:W3CDTF">2024-02-21T08:35:44Z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AD433DDB01EA45A1825E02981F98E60E</vt:lpwstr>
  </property>
</Properties>
</file>